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0"/>
      </w:tblGrid>
      <w:tr w:rsidR="006876CB">
        <w:trPr>
          <w:trHeight w:val="300"/>
        </w:trPr>
        <w:tc>
          <w:tcPr>
            <w:tcW w:w="14850" w:type="dxa"/>
            <w:shd w:val="clear" w:color="auto" w:fill="auto"/>
          </w:tcPr>
          <w:p w:rsidR="006876CB" w:rsidRDefault="003D620C">
            <w:pPr>
              <w:pStyle w:val="ParagraphStyle0"/>
              <w:rPr>
                <w:rStyle w:val="CharacterStyle0"/>
              </w:rPr>
            </w:pPr>
            <w:r>
              <w:rPr>
                <w:rStyle w:val="CharacterStyle0"/>
              </w:rPr>
              <w:t>2. POSEBNI DIO</w:t>
            </w:r>
            <w:r w:rsidR="00B72FD8">
              <w:rPr>
                <w:rStyle w:val="CharacterStyle0"/>
              </w:rPr>
              <w:t xml:space="preserve"> - PRIJEDLOG</w:t>
            </w:r>
            <w:bookmarkStart w:id="0" w:name="_GoBack"/>
            <w:bookmarkEnd w:id="0"/>
          </w:p>
        </w:tc>
      </w:tr>
    </w:tbl>
    <w:p w:rsidR="006876CB" w:rsidRDefault="006876CB">
      <w:pPr>
        <w:spacing w:line="25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0"/>
      </w:tblGrid>
      <w:tr w:rsidR="006876CB">
        <w:trPr>
          <w:trHeight w:val="300"/>
        </w:trPr>
        <w:tc>
          <w:tcPr>
            <w:tcW w:w="14850" w:type="dxa"/>
            <w:shd w:val="clear" w:color="auto" w:fill="auto"/>
          </w:tcPr>
          <w:p w:rsidR="006876CB" w:rsidRDefault="003D620C">
            <w:pPr>
              <w:pStyle w:val="ParagraphStyle0"/>
              <w:rPr>
                <w:rStyle w:val="CharacterStyle0"/>
              </w:rPr>
            </w:pPr>
            <w:r>
              <w:rPr>
                <w:rStyle w:val="CharacterStyle0"/>
              </w:rPr>
              <w:t>2.1. IZVJEŠTAJ PO PROGRAMSKOJ KLASIFIKACIJI</w:t>
            </w:r>
          </w:p>
        </w:tc>
      </w:tr>
    </w:tbl>
    <w:p w:rsidR="006876CB" w:rsidRDefault="006876CB">
      <w:pPr>
        <w:spacing w:line="25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4995"/>
        <w:gridCol w:w="1395"/>
        <w:gridCol w:w="1395"/>
        <w:gridCol w:w="1395"/>
        <w:gridCol w:w="1395"/>
        <w:gridCol w:w="1395"/>
      </w:tblGrid>
      <w:tr w:rsidR="006876CB">
        <w:trPr>
          <w:trHeight w:val="555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6876CB" w:rsidRDefault="003D620C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Šifra</w:t>
            </w:r>
          </w:p>
        </w:tc>
        <w:tc>
          <w:tcPr>
            <w:tcW w:w="49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6876CB" w:rsidRDefault="003D620C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Naziv</w:t>
            </w:r>
          </w:p>
        </w:tc>
        <w:tc>
          <w:tcPr>
            <w:tcW w:w="13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6876CB" w:rsidRDefault="003D620C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Izvršenje 2023.</w:t>
            </w:r>
          </w:p>
        </w:tc>
        <w:tc>
          <w:tcPr>
            <w:tcW w:w="13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6876CB" w:rsidRDefault="003D620C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Plan 2024.</w:t>
            </w:r>
          </w:p>
        </w:tc>
        <w:tc>
          <w:tcPr>
            <w:tcW w:w="13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6876CB" w:rsidRDefault="003D620C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Proračun za 2025.</w:t>
            </w:r>
          </w:p>
        </w:tc>
        <w:tc>
          <w:tcPr>
            <w:tcW w:w="13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6876CB" w:rsidRDefault="003D620C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Projekcija za 2026.</w:t>
            </w:r>
          </w:p>
        </w:tc>
        <w:tc>
          <w:tcPr>
            <w:tcW w:w="13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6876CB" w:rsidRDefault="003D620C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Projekcija za 2027.</w:t>
            </w:r>
          </w:p>
        </w:tc>
      </w:tr>
      <w:tr w:rsidR="006876CB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PROGRAM    1207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RAZVOJ ODGOJNO-OBRAZOVNOG SUSTAVA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15.627,10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27.046,00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36.000,00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36.000,00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36.000,00</w:t>
            </w:r>
          </w:p>
        </w:tc>
      </w:tr>
      <w:tr w:rsidR="006876CB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Tekući projekt T1207 33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PROGRAMI I PROJEKTI U ODGOJU I OBRAZOVANJU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438,00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0,00</w:t>
            </w:r>
          </w:p>
        </w:tc>
      </w:tr>
      <w:tr w:rsidR="006876CB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Izvor financiranja   11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OPĆI PRIHODI I PRIMICI - ŽUPANIJSKI PRORAČUN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438,00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</w:tr>
      <w:tr w:rsidR="006876CB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Rashodi poslovanja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438,00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</w:tr>
      <w:tr w:rsidR="006876CB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Materijalni rashodi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438,00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</w:tr>
      <w:tr w:rsidR="006876CB">
        <w:trPr>
          <w:trHeight w:val="42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Kapitalni projekt K1207 17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SUFINANCIRANJE OBAVEZNE ŠKOLSKE LEKTIRE U OSNOVNIM I SREDNJIM ŠKOLAMA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49,00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50,00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100,00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100,00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100,00</w:t>
            </w:r>
          </w:p>
        </w:tc>
      </w:tr>
      <w:tr w:rsidR="006876CB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Izvor financiranja   11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OPĆI PRIHODI I PRIMICI - ŽUPANIJSKI PRORAČUN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49,00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50,00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100,00</w:t>
            </w:r>
          </w:p>
        </w:tc>
      </w:tr>
      <w:tr w:rsidR="006876CB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4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Rashodi za nabavu nefinancijske imovine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49,00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100,00</w:t>
            </w:r>
          </w:p>
        </w:tc>
      </w:tr>
      <w:tr w:rsidR="006876CB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42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Rashodi za nabavu proizvedene dugotrajne imovine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49,00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100,00</w:t>
            </w:r>
          </w:p>
        </w:tc>
      </w:tr>
      <w:tr w:rsidR="006876CB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Tekući projekt T1207 41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SAJAM ZANIMANJA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143,00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200,00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200,00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200,00</w:t>
            </w:r>
          </w:p>
        </w:tc>
      </w:tr>
      <w:tr w:rsidR="006876CB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Izvor financiranja   11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OPĆI PRIHODI I PRIMICI - ŽUPANIJSKI PRORAČUN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143,00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200,00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200,00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200,00</w:t>
            </w:r>
          </w:p>
        </w:tc>
      </w:tr>
      <w:tr w:rsidR="006876CB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Rashodi poslovanja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143,00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200,00</w:t>
            </w:r>
          </w:p>
        </w:tc>
      </w:tr>
      <w:tr w:rsidR="006876CB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Materijalni rashodi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143,00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200,00</w:t>
            </w:r>
          </w:p>
        </w:tc>
      </w:tr>
      <w:tr w:rsidR="006876CB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Tekući projekt T1207 31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 xml:space="preserve">EU </w:t>
            </w:r>
            <w:r>
              <w:rPr>
                <w:rStyle w:val="CharacterStyle4"/>
              </w:rPr>
              <w:t>PROJEKTI - UČIMO ZAJEDNO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14.394,12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24.610,00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34.400,00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34.400,00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34.400,00</w:t>
            </w:r>
          </w:p>
        </w:tc>
      </w:tr>
      <w:tr w:rsidR="006876CB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Izvor financiranja   11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OPĆI PRIHODI I PRIMICI - ŽUPANIJSKI PRORAČUN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2.174,65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3.610,00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2.400,00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2.400,00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2.400,00</w:t>
            </w:r>
          </w:p>
        </w:tc>
      </w:tr>
      <w:tr w:rsidR="006876CB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Rashodi poslovanja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2.174,65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3.610,00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2.400,00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2.400,00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2.400,00</w:t>
            </w:r>
          </w:p>
        </w:tc>
      </w:tr>
      <w:tr w:rsidR="006876CB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31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Rashodi za zaposlene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210,00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2.400,00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2.400,00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2.400,00</w:t>
            </w:r>
          </w:p>
        </w:tc>
      </w:tr>
      <w:tr w:rsidR="006876CB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Materijalni rashodi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2.174,65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3.400,00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</w:tr>
      <w:tr w:rsidR="006876CB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Izvor financiranja   52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POMOĆI - ŽUPANIJSKI PRORAČUN - EU PROJEKTI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12.219,47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21.000,00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32.000,00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32.000,00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32.000,00</w:t>
            </w:r>
          </w:p>
        </w:tc>
      </w:tr>
      <w:tr w:rsidR="006876CB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 xml:space="preserve">Rashodi </w:t>
            </w:r>
            <w:r>
              <w:rPr>
                <w:rStyle w:val="CharacterStyle10"/>
              </w:rPr>
              <w:t>poslovanja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12.219,47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21.000,00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32.000,00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32.000,00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32.000,00</w:t>
            </w:r>
          </w:p>
        </w:tc>
      </w:tr>
      <w:tr w:rsidR="006876CB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31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Rashodi za zaposlene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12.152,92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20.795,00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27.620,00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27.620,00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27.620,00</w:t>
            </w:r>
          </w:p>
        </w:tc>
      </w:tr>
      <w:tr w:rsidR="006876CB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Materijalni rashodi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66,55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205,00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4.380,00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4.380,00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4.380,00</w:t>
            </w:r>
          </w:p>
        </w:tc>
      </w:tr>
      <w:tr w:rsidR="006876CB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lastRenderedPageBreak/>
              <w:t>Tekući projekt T1207 20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SHEMA - VOĆE, POVRĆE I MLIJEKO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1.183,98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1.805,00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1.300,00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1.300,00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1.300,00</w:t>
            </w:r>
          </w:p>
        </w:tc>
      </w:tr>
    </w:tbl>
    <w:p w:rsidR="006876CB" w:rsidRDefault="006876CB">
      <w:pPr>
        <w:sectPr w:rsidR="006876CB">
          <w:headerReference w:type="default" r:id="rId6"/>
          <w:footerReference w:type="default" r:id="rId7"/>
          <w:pgSz w:w="16833" w:h="11908" w:orient="landscape"/>
          <w:pgMar w:top="850" w:right="850" w:bottom="850" w:left="1133" w:header="0" w:footer="0" w:gutter="0"/>
          <w:cols w:space="720"/>
          <w:formProt w:val="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4995"/>
        <w:gridCol w:w="1395"/>
        <w:gridCol w:w="1395"/>
        <w:gridCol w:w="1395"/>
        <w:gridCol w:w="1395"/>
        <w:gridCol w:w="1395"/>
      </w:tblGrid>
      <w:tr w:rsidR="006876CB">
        <w:trPr>
          <w:trHeight w:val="555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6876CB" w:rsidRDefault="003D620C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lastRenderedPageBreak/>
              <w:t>Šifra</w:t>
            </w:r>
          </w:p>
        </w:tc>
        <w:tc>
          <w:tcPr>
            <w:tcW w:w="49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6876CB" w:rsidRDefault="003D620C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Naziv</w:t>
            </w:r>
          </w:p>
        </w:tc>
        <w:tc>
          <w:tcPr>
            <w:tcW w:w="13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6876CB" w:rsidRDefault="003D620C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Izvršenje 2023.</w:t>
            </w:r>
          </w:p>
        </w:tc>
        <w:tc>
          <w:tcPr>
            <w:tcW w:w="13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6876CB" w:rsidRDefault="003D620C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Plan 2024.</w:t>
            </w:r>
          </w:p>
        </w:tc>
        <w:tc>
          <w:tcPr>
            <w:tcW w:w="13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6876CB" w:rsidRDefault="003D620C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Proračun za 2025.</w:t>
            </w:r>
          </w:p>
        </w:tc>
        <w:tc>
          <w:tcPr>
            <w:tcW w:w="13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6876CB" w:rsidRDefault="003D620C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Projekcija za 2026.</w:t>
            </w:r>
          </w:p>
        </w:tc>
        <w:tc>
          <w:tcPr>
            <w:tcW w:w="13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6876CB" w:rsidRDefault="003D620C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Projekcija za 2027.</w:t>
            </w:r>
          </w:p>
        </w:tc>
      </w:tr>
      <w:tr w:rsidR="006876CB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Izvor financiranja   52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POMOĆI - ŽUPANIJSKI PRORAČUN - EU PROJEKTI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1.183,98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1.805,00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1.300,00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1.300,00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1.300,00</w:t>
            </w:r>
          </w:p>
        </w:tc>
      </w:tr>
      <w:tr w:rsidR="006876CB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Rashodi poslovanja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1.183,98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1.805,00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1.300,00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1.300,00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1.300,00</w:t>
            </w:r>
          </w:p>
        </w:tc>
      </w:tr>
      <w:tr w:rsidR="006876CB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Materijalni rashodi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1.183,98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1.805,00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1.300,00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1.300,00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1.300,00</w:t>
            </w:r>
          </w:p>
        </w:tc>
      </w:tr>
      <w:tr w:rsidR="006876CB">
        <w:trPr>
          <w:trHeight w:val="405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PROGRAM    7006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FINANCIRANJE OSNOVNOG ŠKOLSTVA PREMA MINIMALNOM STANDARDU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76.446,38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83.164,00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69.636,00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69.636,00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69.636,00</w:t>
            </w:r>
          </w:p>
        </w:tc>
      </w:tr>
      <w:tr w:rsidR="006876CB">
        <w:trPr>
          <w:trHeight w:val="42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Kapitalni projekt K7006 06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IZGRADNJA, REKONSTRUKCIJA I OPREMANJE OBJEKATA OSNOVNOG ŠKOLSTVA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1.327,00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1.330,00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1.500,00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1.500,00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1.500,00</w:t>
            </w:r>
          </w:p>
        </w:tc>
      </w:tr>
      <w:tr w:rsidR="006876CB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Izvor financiranja   46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PRIHODI ZA POSEBNE NAMJENE - DECENTRALIZACIJA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1.327,00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1.330,00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1.500,00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1.500,00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1.500,00</w:t>
            </w:r>
          </w:p>
        </w:tc>
      </w:tr>
      <w:tr w:rsidR="006876CB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4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Rashodi za nabavu nefinancijske imovine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1.327,00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1.330,00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1.500,00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1.500,00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1.500,00</w:t>
            </w:r>
          </w:p>
        </w:tc>
      </w:tr>
      <w:tr w:rsidR="006876CB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42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 xml:space="preserve">Rashodi za nabavu proizvedene </w:t>
            </w:r>
            <w:r>
              <w:rPr>
                <w:rStyle w:val="CharacterStyle10"/>
              </w:rPr>
              <w:t>dugotrajne imovine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1.327,00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1.330,00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1.500,00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1.500,00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1.500,00</w:t>
            </w:r>
          </w:p>
        </w:tc>
      </w:tr>
      <w:tr w:rsidR="006876CB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Aktivnost A7006 04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FINANCIRANJE OPĆIH TROŠKOVA OSNOVNOG ŠKOLSTVA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26.360,73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21.120,00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21.444,00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21.444,00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21.444,00</w:t>
            </w:r>
          </w:p>
        </w:tc>
      </w:tr>
      <w:tr w:rsidR="006876CB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Izvor financiranja   46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PRIHODI ZA POSEBNE NAMJENE - DECENTRALIZACIJA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26.360,73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21.120,00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21.444,00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21.444,00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21.444,00</w:t>
            </w:r>
          </w:p>
        </w:tc>
      </w:tr>
      <w:tr w:rsidR="006876CB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Rashodi poslovanja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26.360,73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21.120,00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21.444,00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21.444,00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21.444,00</w:t>
            </w:r>
          </w:p>
        </w:tc>
      </w:tr>
      <w:tr w:rsidR="006876CB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Materijalni rashodi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26.290,21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21.069,00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21.403,00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21.403,00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21.403,00</w:t>
            </w:r>
          </w:p>
        </w:tc>
      </w:tr>
      <w:tr w:rsidR="006876CB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34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Financijski rashodi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70,52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40,00</w:t>
            </w:r>
          </w:p>
        </w:tc>
      </w:tr>
      <w:tr w:rsidR="006876CB">
        <w:trPr>
          <w:trHeight w:val="405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37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Naknade građanima i kućanstvima na temelju osiguranja i druge naknade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1,00</w:t>
            </w:r>
          </w:p>
        </w:tc>
      </w:tr>
      <w:tr w:rsidR="006876CB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Aktivnost A7006 05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FINANCIRANJE STVARNIH TROŠKOVA OSNOVNOG ŠKOLSTVA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48.758,65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60.714,00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46.692,00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46.692,00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46.692,00</w:t>
            </w:r>
          </w:p>
        </w:tc>
      </w:tr>
      <w:tr w:rsidR="006876CB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Izvor financiranja   11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 xml:space="preserve">OPĆI PRIHODI I </w:t>
            </w:r>
            <w:r>
              <w:rPr>
                <w:rStyle w:val="CharacterStyle7"/>
              </w:rPr>
              <w:t>PRIMICI - ŽUPANIJSKI PRORAČUN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2.850,00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2.850,00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2.850,00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2.850,00</w:t>
            </w:r>
          </w:p>
        </w:tc>
      </w:tr>
      <w:tr w:rsidR="006876CB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Rashodi poslovanja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2.850,00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2.850,00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2.850,00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2.850,00</w:t>
            </w:r>
          </w:p>
        </w:tc>
      </w:tr>
      <w:tr w:rsidR="006876CB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Materijalni rashodi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2.850,00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2.850,00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2.850,00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2.850,00</w:t>
            </w:r>
          </w:p>
        </w:tc>
      </w:tr>
      <w:tr w:rsidR="006876CB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Izvor financiranja   46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 xml:space="preserve">PRIHODI ZA POSEBNE NAMJENE - </w:t>
            </w:r>
            <w:r>
              <w:rPr>
                <w:rStyle w:val="CharacterStyle7"/>
              </w:rPr>
              <w:t>DECENTRALIZACIJA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48.758,65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57.864,00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43.842,00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43.842,00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43.842,00</w:t>
            </w:r>
          </w:p>
        </w:tc>
      </w:tr>
      <w:tr w:rsidR="006876CB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Rashodi poslovanja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48.758,65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57.864,00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43.842,00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43.842,00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43.842,00</w:t>
            </w:r>
          </w:p>
        </w:tc>
      </w:tr>
      <w:tr w:rsidR="006876CB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Materijalni rashodi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48.758,65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57.864,00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43.842,00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43.842,00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43.842,00</w:t>
            </w:r>
          </w:p>
        </w:tc>
      </w:tr>
      <w:tr w:rsidR="006876CB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PROGRAM    7011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 xml:space="preserve">FINANCIRANJE ŠKOLSTVA </w:t>
            </w:r>
            <w:r>
              <w:rPr>
                <w:rStyle w:val="CharacterStyle4"/>
              </w:rPr>
              <w:t>IZVAN ŽUPANIJSKOG PRORAČUNA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881.350,23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955.995,00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1.195.863,00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1.195.563,00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1.195.563,00</w:t>
            </w:r>
          </w:p>
        </w:tc>
      </w:tr>
      <w:tr w:rsidR="006876CB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Aktivnost A7011 01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VLASTITI PRIHODI - OSNOVNO ŠKOLSTVO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881.350,23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955.995,00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1.195.863,00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1.195.563,00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1.195.563,00</w:t>
            </w:r>
          </w:p>
        </w:tc>
      </w:tr>
      <w:tr w:rsidR="006876CB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Izvor financiranja   32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 xml:space="preserve">VLASTITI PRIHODI - </w:t>
            </w:r>
            <w:r>
              <w:rPr>
                <w:rStyle w:val="CharacterStyle7"/>
              </w:rPr>
              <w:t>PRORAČUNSKI KORISNICI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1.394,99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3.171,00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4.043,00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3.743,00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3.743,00</w:t>
            </w:r>
          </w:p>
        </w:tc>
      </w:tr>
      <w:tr w:rsidR="006876CB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Rashodi poslovanja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1.012,35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2.241,00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3.331,00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3.031,00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3.031,00</w:t>
            </w:r>
          </w:p>
        </w:tc>
      </w:tr>
      <w:tr w:rsidR="006876CB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lastRenderedPageBreak/>
              <w:t>32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Materijalni rashodi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877,35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1.940,00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3.030,00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2.730,00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2.730,00</w:t>
            </w:r>
          </w:p>
        </w:tc>
      </w:tr>
    </w:tbl>
    <w:p w:rsidR="006876CB" w:rsidRDefault="006876CB">
      <w:pPr>
        <w:sectPr w:rsidR="006876CB">
          <w:headerReference w:type="default" r:id="rId8"/>
          <w:footerReference w:type="default" r:id="rId9"/>
          <w:pgSz w:w="16833" w:h="11908" w:orient="landscape"/>
          <w:pgMar w:top="850" w:right="850" w:bottom="850" w:left="1133" w:header="0" w:footer="0" w:gutter="0"/>
          <w:cols w:space="720"/>
          <w:formProt w:val="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4995"/>
        <w:gridCol w:w="1395"/>
        <w:gridCol w:w="1395"/>
        <w:gridCol w:w="1395"/>
        <w:gridCol w:w="1395"/>
        <w:gridCol w:w="1395"/>
      </w:tblGrid>
      <w:tr w:rsidR="006876CB">
        <w:trPr>
          <w:trHeight w:val="555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6876CB" w:rsidRDefault="003D620C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lastRenderedPageBreak/>
              <w:t>Šifra</w:t>
            </w:r>
          </w:p>
        </w:tc>
        <w:tc>
          <w:tcPr>
            <w:tcW w:w="49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6876CB" w:rsidRDefault="003D620C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Naziv</w:t>
            </w:r>
          </w:p>
        </w:tc>
        <w:tc>
          <w:tcPr>
            <w:tcW w:w="13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6876CB" w:rsidRDefault="003D620C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Izvršenje 2023.</w:t>
            </w:r>
          </w:p>
        </w:tc>
        <w:tc>
          <w:tcPr>
            <w:tcW w:w="13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6876CB" w:rsidRDefault="003D620C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Plan 2024.</w:t>
            </w:r>
          </w:p>
        </w:tc>
        <w:tc>
          <w:tcPr>
            <w:tcW w:w="13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6876CB" w:rsidRDefault="003D620C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Proračun za 2025.</w:t>
            </w:r>
          </w:p>
        </w:tc>
        <w:tc>
          <w:tcPr>
            <w:tcW w:w="13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6876CB" w:rsidRDefault="003D620C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Projekcija za 2026.</w:t>
            </w:r>
          </w:p>
        </w:tc>
        <w:tc>
          <w:tcPr>
            <w:tcW w:w="13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6876CB" w:rsidRDefault="003D620C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Projekcija za 2027.</w:t>
            </w:r>
          </w:p>
        </w:tc>
      </w:tr>
      <w:tr w:rsidR="006876CB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34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Financijski rashodi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1,00</w:t>
            </w:r>
          </w:p>
        </w:tc>
      </w:tr>
      <w:tr w:rsidR="006876CB">
        <w:trPr>
          <w:trHeight w:val="405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37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Naknade građanima i kućanstvima na temelju osiguranja i druge naknade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135,00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300,00</w:t>
            </w:r>
          </w:p>
        </w:tc>
      </w:tr>
      <w:tr w:rsidR="006876CB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4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 xml:space="preserve">Rashodi za nabavu </w:t>
            </w:r>
            <w:r>
              <w:rPr>
                <w:rStyle w:val="CharacterStyle10"/>
              </w:rPr>
              <w:t>nefinancijske imovine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382,64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930,00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712,00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712,00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712,00</w:t>
            </w:r>
          </w:p>
        </w:tc>
      </w:tr>
      <w:tr w:rsidR="006876CB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42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Rashodi za nabavu proizvedene dugotrajne imovine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382,64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930,00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712,00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712,00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712,00</w:t>
            </w:r>
          </w:p>
        </w:tc>
      </w:tr>
      <w:tr w:rsidR="006876CB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Izvor financiranja   49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PRIHODI ZA POSEBNE NAMJENE - OSTALO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7.004,35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7.590,00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7.500,00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7.500,00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7.500,00</w:t>
            </w:r>
          </w:p>
        </w:tc>
      </w:tr>
      <w:tr w:rsidR="006876CB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Rashodi poslovanja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1.414,66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590,00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500,00</w:t>
            </w:r>
          </w:p>
        </w:tc>
      </w:tr>
      <w:tr w:rsidR="006876CB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Materijalni rashodi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1.414,66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580,00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500,00</w:t>
            </w:r>
          </w:p>
        </w:tc>
      </w:tr>
      <w:tr w:rsidR="006876CB">
        <w:trPr>
          <w:trHeight w:val="42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37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Naknade građanima i kućanstvima na temelju osiguranja i druge naknade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</w:tr>
      <w:tr w:rsidR="006876CB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4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 xml:space="preserve">Rashodi za nabavu nefinancijske </w:t>
            </w:r>
            <w:r>
              <w:rPr>
                <w:rStyle w:val="CharacterStyle10"/>
              </w:rPr>
              <w:t>imovine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5.589,69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7.000,00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7.000,00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7.000,00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7.000,00</w:t>
            </w:r>
          </w:p>
        </w:tc>
      </w:tr>
      <w:tr w:rsidR="006876CB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42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Rashodi za nabavu proizvedene dugotrajne imovine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5.589,69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7.000,00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7.000,00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7.000,00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7.000,00</w:t>
            </w:r>
          </w:p>
        </w:tc>
      </w:tr>
      <w:tr w:rsidR="006876CB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Izvor financiranja   54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POMOĆI - KORISNICI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872.837,32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945.224,00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1.184.120,00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1.184.120,00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1.184.120,00</w:t>
            </w:r>
          </w:p>
        </w:tc>
      </w:tr>
      <w:tr w:rsidR="006876CB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Rashodi poslovanja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872.837,32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945.224,00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1.184.120,00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1.184.120,00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1.184.120,00</w:t>
            </w:r>
          </w:p>
        </w:tc>
      </w:tr>
      <w:tr w:rsidR="006876CB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31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Rashodi za zaposlene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797.042,16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877.510,00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1.109.010,00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1.109.010,00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1.109.010,00</w:t>
            </w:r>
          </w:p>
        </w:tc>
      </w:tr>
      <w:tr w:rsidR="006876CB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Materijalni rashodi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75.589,81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67.504,00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74.900,00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74.900,00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74.900,00</w:t>
            </w:r>
          </w:p>
        </w:tc>
      </w:tr>
      <w:tr w:rsidR="006876CB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38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 xml:space="preserve">Ostali </w:t>
            </w:r>
            <w:r>
              <w:rPr>
                <w:rStyle w:val="CharacterStyle10"/>
              </w:rPr>
              <w:t>rashodi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205,35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210,00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210,00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210,00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210,00</w:t>
            </w:r>
          </w:p>
        </w:tc>
      </w:tr>
      <w:tr w:rsidR="006876CB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Izvor financiranja   62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DONACIJE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113,57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200,00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200,00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200,00</w:t>
            </w:r>
          </w:p>
        </w:tc>
      </w:tr>
      <w:tr w:rsidR="006876CB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4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Rashodi za nabavu nefinancijske imovine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113,57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200,00</w:t>
            </w:r>
          </w:p>
        </w:tc>
      </w:tr>
      <w:tr w:rsidR="006876CB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42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Rashodi za nabavu proizvedene dugotrajne imovine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113,57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6CB" w:rsidRDefault="003D620C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200,00</w:t>
            </w:r>
          </w:p>
        </w:tc>
      </w:tr>
    </w:tbl>
    <w:p w:rsidR="006876CB" w:rsidRDefault="006876CB">
      <w:pPr>
        <w:spacing w:line="15" w:lineRule="exact"/>
      </w:pPr>
    </w:p>
    <w:sectPr w:rsidR="006876CB">
      <w:headerReference w:type="default" r:id="rId10"/>
      <w:footerReference w:type="default" r:id="rId11"/>
      <w:pgSz w:w="16833" w:h="11908" w:orient="landscape"/>
      <w:pgMar w:top="850" w:right="850" w:bottom="850" w:left="1133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20C" w:rsidRDefault="003D620C">
      <w:r>
        <w:separator/>
      </w:r>
    </w:p>
  </w:endnote>
  <w:endnote w:type="continuationSeparator" w:id="0">
    <w:p w:rsidR="003D620C" w:rsidRDefault="003D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6CB" w:rsidRDefault="006876CB">
    <w:pPr>
      <w:rPr>
        <w:rStyle w:val="FakeCharacterStyl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6CB" w:rsidRDefault="006876CB">
    <w:pPr>
      <w:rPr>
        <w:rStyle w:val="FakeCharacterSty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6CB" w:rsidRDefault="006876CB">
    <w:pPr>
      <w:rPr>
        <w:rStyle w:val="FakeCharacterSty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20C" w:rsidRDefault="003D620C">
      <w:r>
        <w:separator/>
      </w:r>
    </w:p>
  </w:footnote>
  <w:footnote w:type="continuationSeparator" w:id="0">
    <w:p w:rsidR="003D620C" w:rsidRDefault="003D6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6CB" w:rsidRDefault="006876CB">
    <w:pPr>
      <w:rPr>
        <w:rStyle w:val="FakeCharacterSty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6CB" w:rsidRDefault="006876CB">
    <w:pPr>
      <w:rPr>
        <w:rStyle w:val="FakeCharacterSty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6CB" w:rsidRDefault="006876CB">
    <w:pPr>
      <w:rPr>
        <w:rStyle w:val="FakeCharacter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6CB"/>
    <w:rsid w:val="003D620C"/>
    <w:rsid w:val="006876CB"/>
    <w:rsid w:val="00B627D4"/>
    <w:rsid w:val="00B7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04C24"/>
  <w15:docId w15:val="{F8C3C116-2FE2-4124-BA4B-DD998C18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Style0">
    <w:name w:val="ParagraphStyle0"/>
    <w:hidden/>
    <w:pPr>
      <w:spacing w:before="28" w:after="28"/>
      <w:ind w:left="28" w:right="28"/>
      <w:jc w:val="center"/>
    </w:pPr>
  </w:style>
  <w:style w:type="paragraph" w:customStyle="1" w:styleId="ParagraphStyle1">
    <w:name w:val="ParagraphStyle1"/>
    <w:hidden/>
    <w:pPr>
      <w:spacing w:before="28" w:after="28"/>
      <w:ind w:left="28" w:right="28"/>
      <w:jc w:val="center"/>
    </w:pPr>
  </w:style>
  <w:style w:type="paragraph" w:customStyle="1" w:styleId="ParagraphStyle2">
    <w:name w:val="ParagraphStyle2"/>
    <w:hidden/>
    <w:pPr>
      <w:spacing w:before="28" w:after="28"/>
      <w:ind w:left="28" w:right="28"/>
      <w:jc w:val="center"/>
    </w:pPr>
  </w:style>
  <w:style w:type="paragraph" w:customStyle="1" w:styleId="ParagraphStyle3">
    <w:name w:val="ParagraphStyle3"/>
    <w:hidden/>
    <w:pPr>
      <w:ind w:left="28" w:right="28"/>
    </w:pPr>
  </w:style>
  <w:style w:type="paragraph" w:customStyle="1" w:styleId="ParagraphStyle4">
    <w:name w:val="ParagraphStyle4"/>
    <w:hidden/>
    <w:pPr>
      <w:ind w:left="28" w:right="28"/>
    </w:pPr>
  </w:style>
  <w:style w:type="paragraph" w:customStyle="1" w:styleId="ParagraphStyle5">
    <w:name w:val="ParagraphStyle5"/>
    <w:hidden/>
    <w:pPr>
      <w:ind w:left="28" w:right="28"/>
      <w:jc w:val="right"/>
    </w:pPr>
  </w:style>
  <w:style w:type="paragraph" w:customStyle="1" w:styleId="ParagraphStyle6">
    <w:name w:val="ParagraphStyle6"/>
    <w:hidden/>
    <w:pPr>
      <w:ind w:left="28" w:right="28"/>
    </w:pPr>
  </w:style>
  <w:style w:type="paragraph" w:customStyle="1" w:styleId="ParagraphStyle7">
    <w:name w:val="ParagraphStyle7"/>
    <w:hidden/>
    <w:pPr>
      <w:ind w:left="28" w:right="28"/>
    </w:pPr>
  </w:style>
  <w:style w:type="paragraph" w:customStyle="1" w:styleId="ParagraphStyle8">
    <w:name w:val="ParagraphStyle8"/>
    <w:hidden/>
    <w:pPr>
      <w:ind w:left="28" w:right="28"/>
      <w:jc w:val="right"/>
    </w:pPr>
  </w:style>
  <w:style w:type="paragraph" w:customStyle="1" w:styleId="ParagraphStyle9">
    <w:name w:val="ParagraphStyle9"/>
    <w:hidden/>
    <w:pPr>
      <w:ind w:left="28" w:right="28"/>
    </w:pPr>
  </w:style>
  <w:style w:type="paragraph" w:customStyle="1" w:styleId="ParagraphStyle10">
    <w:name w:val="ParagraphStyle10"/>
    <w:hidden/>
    <w:pPr>
      <w:ind w:left="28" w:right="28"/>
    </w:pPr>
  </w:style>
  <w:style w:type="paragraph" w:customStyle="1" w:styleId="ParagraphStyle11">
    <w:name w:val="ParagraphStyle11"/>
    <w:hidden/>
    <w:pPr>
      <w:ind w:left="28" w:right="28"/>
      <w:jc w:val="right"/>
    </w:pPr>
  </w:style>
  <w:style w:type="character" w:styleId="Brojretka">
    <w:name w:val="line number"/>
    <w:basedOn w:val="Zadanifontodlomka"/>
    <w:semiHidden/>
  </w:style>
  <w:style w:type="character" w:styleId="Hiperveza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Arial" w:eastAsia="Arial" w:hAnsi="Arial" w:cs="Arial"/>
      <w:b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">
    <w:name w:val="CharacterStyle1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2">
    <w:name w:val="CharacterStyle2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3">
    <w:name w:val="CharacterStyle3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4">
    <w:name w:val="CharacterStyle4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5">
    <w:name w:val="CharacterStyle5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6">
    <w:name w:val="CharacterStyle6"/>
    <w:hidden/>
    <w:rPr>
      <w:rFonts w:ascii="Arial" w:eastAsia="Arial" w:hAnsi="Arial" w:cs="Arial"/>
      <w:b w:val="0"/>
      <w:i/>
      <w:strike w:val="0"/>
      <w:noProof/>
      <w:color w:val="000000"/>
      <w:sz w:val="16"/>
      <w:szCs w:val="16"/>
      <w:u w:val="none"/>
    </w:rPr>
  </w:style>
  <w:style w:type="character" w:customStyle="1" w:styleId="CharacterStyle7">
    <w:name w:val="CharacterStyle7"/>
    <w:hidden/>
    <w:rPr>
      <w:rFonts w:ascii="Arial" w:eastAsia="Arial" w:hAnsi="Arial" w:cs="Arial"/>
      <w:b w:val="0"/>
      <w:i/>
      <w:strike w:val="0"/>
      <w:noProof/>
      <w:color w:val="000000"/>
      <w:sz w:val="16"/>
      <w:szCs w:val="16"/>
      <w:u w:val="none"/>
    </w:rPr>
  </w:style>
  <w:style w:type="character" w:customStyle="1" w:styleId="CharacterStyle8">
    <w:name w:val="CharacterStyle8"/>
    <w:hidden/>
    <w:rPr>
      <w:rFonts w:ascii="Arial" w:eastAsia="Arial" w:hAnsi="Arial" w:cs="Arial"/>
      <w:b w:val="0"/>
      <w:i/>
      <w:strike w:val="0"/>
      <w:noProof/>
      <w:color w:val="000000"/>
      <w:sz w:val="16"/>
      <w:szCs w:val="16"/>
      <w:u w:val="none"/>
    </w:rPr>
  </w:style>
  <w:style w:type="character" w:customStyle="1" w:styleId="CharacterStyle9">
    <w:name w:val="CharacterStyle9"/>
    <w:hidden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0">
    <w:name w:val="CharacterStyle10"/>
    <w:hidden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1">
    <w:name w:val="CharacterStyle11"/>
    <w:hidden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2</cp:revision>
  <dcterms:created xsi:type="dcterms:W3CDTF">2024-10-22T13:12:00Z</dcterms:created>
  <dcterms:modified xsi:type="dcterms:W3CDTF">2024-10-22T13:12:00Z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22.2.5.0</vt:lpwstr>
  </property>
</Properties>
</file>