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4F6F17">
        <w:trPr>
          <w:trHeight w:val="300"/>
        </w:trPr>
        <w:tc>
          <w:tcPr>
            <w:tcW w:w="9915" w:type="dxa"/>
            <w:shd w:val="clear" w:color="auto" w:fill="auto"/>
          </w:tcPr>
          <w:p w:rsidR="004F6F17" w:rsidRDefault="00E45229">
            <w:pPr>
              <w:pStyle w:val="ParagraphStyle0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>II. POSEBNI DIO</w:t>
            </w:r>
          </w:p>
        </w:tc>
      </w:tr>
    </w:tbl>
    <w:p w:rsidR="004F6F17" w:rsidRDefault="004F6F17">
      <w:pPr>
        <w:spacing w:line="1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4F6F17">
        <w:trPr>
          <w:trHeight w:val="315"/>
        </w:trPr>
        <w:tc>
          <w:tcPr>
            <w:tcW w:w="9915" w:type="dxa"/>
            <w:shd w:val="clear" w:color="auto" w:fill="auto"/>
          </w:tcPr>
          <w:p w:rsidR="004F6F17" w:rsidRDefault="00E45229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Posebni dio po programskoj klasifikaciji</w:t>
            </w:r>
          </w:p>
        </w:tc>
      </w:tr>
    </w:tbl>
    <w:p w:rsidR="004F6F17" w:rsidRDefault="004F6F17">
      <w:pPr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30"/>
        <w:gridCol w:w="1395"/>
        <w:gridCol w:w="1395"/>
        <w:gridCol w:w="1395"/>
      </w:tblGrid>
      <w:tr w:rsidR="004F6F17">
        <w:trPr>
          <w:trHeight w:val="55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Šifra</w:t>
            </w:r>
          </w:p>
        </w:tc>
        <w:tc>
          <w:tcPr>
            <w:tcW w:w="3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za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Povećanje / smanjenje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za 2024.</w:t>
            </w:r>
          </w:p>
        </w:tc>
      </w:tr>
      <w:tr w:rsidR="004F6F17">
        <w:trPr>
          <w:trHeight w:val="24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PROGRAM    1207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RAZVOJ ODGOJNO-OBRAZOVNOG SUSTAVA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27.046,00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11.890,00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38.936,00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Tekući projekt T1207 33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 xml:space="preserve">PROGRAMI I </w:t>
            </w:r>
            <w:r>
              <w:rPr>
                <w:rStyle w:val="CharacterStyle6"/>
              </w:rPr>
              <w:t>PROJEKTI U ODGOJU I OBRAZOVANJU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438,00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438,00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438,00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438,00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438,00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438,00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438,00</w:t>
            </w:r>
          </w:p>
        </w:tc>
      </w:tr>
      <w:tr w:rsidR="004F6F17">
        <w:trPr>
          <w:trHeight w:val="60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Kapitalni projekt K1207 17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SUFINANCIRANJE OBAVEZNE ŠKOLSKE LEKTIRE U OSNOVNIM I SREDNJIM ŠKOLAMA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50,00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50,00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 xml:space="preserve">Rashodi za nabavu </w:t>
            </w:r>
            <w:r>
              <w:rPr>
                <w:rStyle w:val="CharacterStyle12"/>
              </w:rPr>
              <w:t>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Tekući projekt T1207 41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SAJAM ZANIMANJA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143,00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143,00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143,00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 xml:space="preserve">Materijalni </w:t>
            </w:r>
            <w:r>
              <w:rPr>
                <w:rStyle w:val="CharacterStyle12"/>
              </w:rPr>
              <w:t>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143,00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Tekući projekt T1207 31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EU PROJEKTI - UČIMO ZAJEDNO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24.610,00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11.890,00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36.500,00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3.610,00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3.610,00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3.610,00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3.610,00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210,00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3.400,00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ŽUPANIJSKI PRORAČUN - EU PROJEKTI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11.890,00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32.890,00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11.890,00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32.890,00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 xml:space="preserve">Rashodi za </w:t>
            </w:r>
            <w:r>
              <w:rPr>
                <w:rStyle w:val="CharacterStyle12"/>
              </w:rPr>
              <w:t>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20.795,00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11.770,00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32.565,00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325,00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Tekući projekt T1207 20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SHEMA - VOĆE, POVRĆE I MLIJEKO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1.805,00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1.805,00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ŽUPANIJSKI PRORAČUN - EU PROJEKTI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1.805,00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1.805,00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1.805,00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1.805,00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1.805,00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PROGRAM    7006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FINANCIRANJE OSNOVNOG ŠKOLSTVA PREMA MINIMALNOM STANDARDU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83.164,00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83.164,00</w:t>
            </w:r>
          </w:p>
        </w:tc>
      </w:tr>
      <w:tr w:rsidR="004F6F17">
        <w:trPr>
          <w:trHeight w:val="60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Kapitalni projekt K7006 06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IZGRADNJA, REKONSTRUKCIJA I OPREMANJE</w:t>
            </w:r>
            <w:r>
              <w:rPr>
                <w:rStyle w:val="CharacterStyle6"/>
              </w:rPr>
              <w:t xml:space="preserve"> OBJEKATA OSNOVNOG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1.330,00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DECENTRALIZACIJA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1.330,00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1.330,00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 xml:space="preserve">Rashodi za nabavu proizvedene dugotrajne </w:t>
            </w:r>
            <w:r>
              <w:rPr>
                <w:rStyle w:val="CharacterStyle12"/>
              </w:rPr>
              <w:t>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1.330,00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Aktivnost A7006 04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FINANCIRANJE OPĆIH TROŠKOVA OSNOVNOG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21.120,00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24.520,00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lastRenderedPageBreak/>
              <w:t>Izvor financiranja   46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DECENTRALIZACIJA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21.120,00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24.520,00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21.120,00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24.520,00</w:t>
            </w:r>
          </w:p>
        </w:tc>
      </w:tr>
    </w:tbl>
    <w:p w:rsidR="004F6F17" w:rsidRDefault="004F6F17">
      <w:pPr>
        <w:sectPr w:rsidR="004F6F17">
          <w:headerReference w:type="default" r:id="rId6"/>
          <w:footerReference w:type="default" r:id="rId7"/>
          <w:pgSz w:w="11908" w:h="16833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30"/>
        <w:gridCol w:w="1395"/>
        <w:gridCol w:w="1395"/>
        <w:gridCol w:w="1395"/>
      </w:tblGrid>
      <w:tr w:rsidR="004F6F17">
        <w:trPr>
          <w:trHeight w:val="55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Šifra</w:t>
            </w:r>
          </w:p>
        </w:tc>
        <w:tc>
          <w:tcPr>
            <w:tcW w:w="3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za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Povećanje / smanjenje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4F6F17" w:rsidRDefault="00E4522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za 2024.</w:t>
            </w:r>
          </w:p>
        </w:tc>
      </w:tr>
      <w:tr w:rsidR="004F6F17">
        <w:trPr>
          <w:trHeight w:val="2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21.069,00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3.420,00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24.489,00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Financijski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30,00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37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Aktivnost A7006 05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FINANCIRANJE STVARNIH TROŠKOVA OSNOVNOG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60.714,00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- 3.400,00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57.314,00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2.850,00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DECENTRALIZACIJA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57.864,00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- 3.400,00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54.464,00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57.864,00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54.464,00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57.864,00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54.464,00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PROGRAM    7011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FINANCIRANJE ŠKOLSTVA IZVAN ŽUPANIJSKOG PRORAČUNA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955.995,00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264.275,00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1.220.270,00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Aktivnost A7011 01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VLASTITI PRIHODI</w:t>
            </w:r>
            <w:r>
              <w:rPr>
                <w:rStyle w:val="CharacterStyle6"/>
              </w:rPr>
              <w:t xml:space="preserve"> - OSNOVNO ŠKOLSTVO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955.995,00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264.275,00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1.220.270,00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3.171,00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3.171,00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2.241,00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2.391,00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1.940,00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2.090,00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 xml:space="preserve">Financijski </w:t>
            </w:r>
            <w:r>
              <w:rPr>
                <w:rStyle w:val="CharacterStyle12"/>
              </w:rPr>
              <w:t>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37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300,00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- 150,00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780,00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- 150,00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780,00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49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OSTALO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7.590,00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- 662,00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6.928,00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- 62,00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528,00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- 53,00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527,00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37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 xml:space="preserve">Naknade građanima i kućanstvima na temelju osiguranja i druge </w:t>
            </w:r>
            <w:r>
              <w:rPr>
                <w:rStyle w:val="CharacterStyle12"/>
              </w:rPr>
              <w:t>naknade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6.400,00</w:t>
            </w:r>
          </w:p>
        </w:tc>
      </w:tr>
      <w:tr w:rsidR="004F6F17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6.400,00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945.224,00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264.747,00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1.209.971,00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945.224,00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264.747,00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1.209.971,00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877.510,00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248.430,00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1.125.940,00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67.504,00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16.320,00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83.824,00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38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Ostali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- 3,00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207,00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62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DONACIJE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200,00</w:t>
            </w:r>
          </w:p>
        </w:tc>
      </w:tr>
      <w:tr w:rsidR="004F6F17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200,00</w:t>
            </w:r>
          </w:p>
        </w:tc>
      </w:tr>
      <w:tr w:rsidR="004F6F17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17" w:rsidRDefault="00E4522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200,00</w:t>
            </w:r>
          </w:p>
        </w:tc>
      </w:tr>
    </w:tbl>
    <w:p w:rsidR="004F6F17" w:rsidRDefault="004F6F17">
      <w:pPr>
        <w:spacing w:line="15" w:lineRule="exact"/>
      </w:pPr>
    </w:p>
    <w:sectPr w:rsidR="004F6F17">
      <w:headerReference w:type="default" r:id="rId8"/>
      <w:footerReference w:type="default" r:id="rId9"/>
      <w:pgSz w:w="11908" w:h="16833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29" w:rsidRDefault="00E45229">
      <w:r>
        <w:separator/>
      </w:r>
    </w:p>
  </w:endnote>
  <w:endnote w:type="continuationSeparator" w:id="0">
    <w:p w:rsidR="00E45229" w:rsidRDefault="00E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17" w:rsidRDefault="004F6F17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17" w:rsidRDefault="004F6F17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29" w:rsidRDefault="00E45229">
      <w:r>
        <w:separator/>
      </w:r>
    </w:p>
  </w:footnote>
  <w:footnote w:type="continuationSeparator" w:id="0">
    <w:p w:rsidR="00E45229" w:rsidRDefault="00E4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17" w:rsidRDefault="004F6F17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17" w:rsidRDefault="004F6F17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17"/>
    <w:rsid w:val="004F6F17"/>
    <w:rsid w:val="009B74E5"/>
    <w:rsid w:val="00E4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5C540-54C2-4DE4-B796-4D8782B2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28" w:right="28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right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NADA</dc:creator>
  <cp:lastModifiedBy>NADA</cp:lastModifiedBy>
  <cp:revision>2</cp:revision>
  <dcterms:created xsi:type="dcterms:W3CDTF">2024-10-31T09:30:00Z</dcterms:created>
  <dcterms:modified xsi:type="dcterms:W3CDTF">2024-10-31T09:30:00Z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