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09c51910f437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23018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DRAŽ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1.226.782,90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1.268.181,56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1.212.317,42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1.351.125,22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82.943,66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8.662,08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7.332,36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8.662,08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7.332,36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90.276,02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U IZNOSU OD 90.276,02 EURA JE ZBOG ČINJENICE DA JE OBRAČUNATA PLAĆA ZA  PROSINAC 2025. I KNJIŽENI RAČUNI ZA PROSINAC 2025. GODINE, A  PRIHOD ZA ISTE ĆE USLIJEDITI U SIJEČNJU 2026. GODINE. (PLAĆA ISPLAĆENA 9.1.2026. GODINE)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U IZNOSU OD 426,83 EURA SE ODNOSE NA RAČUNE ZA PREHRANU U PROSINCU - SUFINANCIRANJE PREHRANE UČENIKA IZ DRŽAVNOG PRORAČUNA (MZO) ZA KOJE JE PRIHOD BIO 22.1.2025. GODINE.</w:t>
      </w:r>
    </w:p>
    <w:p>
      <w:r>
        <w:t xml:space="preserve">DOSPJELE OBVEZE U IZNOSU OD 659,46 EURA SE ODNOSE NA ČINJENICU DA NIJE REFUNDIRANO BOLOVANJE HZZO-a - NAKNADA PLAĆE ZA OZLJEDE NA RADU I PROFESIONALNE BOLESTI     </w:t>
      </w:r>
      <w:r>
        <w:br/>
      </w:r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79aa423c024729" /></Relationships>
</file>